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3D" w:rsidRPr="001D01C0" w:rsidRDefault="00606F3D" w:rsidP="00606F3D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>Об итогах исполнения бюджета Петриковского района</w:t>
      </w:r>
    </w:p>
    <w:p w:rsidR="00606F3D" w:rsidRPr="001D01C0" w:rsidRDefault="00606F3D" w:rsidP="00606F3D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 xml:space="preserve">за 1 </w:t>
      </w:r>
      <w:r w:rsidR="009E08F4">
        <w:rPr>
          <w:sz w:val="30"/>
          <w:szCs w:val="30"/>
        </w:rPr>
        <w:t>полугодие</w:t>
      </w:r>
      <w:r w:rsidRPr="001D01C0">
        <w:rPr>
          <w:sz w:val="30"/>
          <w:szCs w:val="30"/>
        </w:rPr>
        <w:t xml:space="preserve"> 2021 год</w:t>
      </w:r>
    </w:p>
    <w:p w:rsidR="00606F3D" w:rsidRDefault="00606F3D" w:rsidP="00606F3D">
      <w:pPr>
        <w:rPr>
          <w:sz w:val="30"/>
          <w:szCs w:val="30"/>
        </w:rPr>
      </w:pPr>
    </w:p>
    <w:p w:rsidR="00606F3D" w:rsidRDefault="00606F3D" w:rsidP="00606F3D">
      <w:pPr>
        <w:rPr>
          <w:sz w:val="30"/>
          <w:szCs w:val="30"/>
        </w:rPr>
      </w:pPr>
    </w:p>
    <w:p w:rsidR="00606F3D" w:rsidRPr="000D770E" w:rsidRDefault="00606F3D" w:rsidP="00606F3D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>Доходы консолидированного бюджета района за перв</w:t>
      </w:r>
      <w:r w:rsidR="000A272E">
        <w:rPr>
          <w:sz w:val="30"/>
          <w:szCs w:val="30"/>
        </w:rPr>
        <w:t>ое</w:t>
      </w:r>
      <w:r w:rsidRPr="000D770E">
        <w:rPr>
          <w:sz w:val="30"/>
          <w:szCs w:val="30"/>
        </w:rPr>
        <w:t xml:space="preserve"> </w:t>
      </w:r>
      <w:r w:rsidR="009E08F4">
        <w:rPr>
          <w:sz w:val="30"/>
          <w:szCs w:val="30"/>
        </w:rPr>
        <w:t xml:space="preserve">полугодие </w:t>
      </w:r>
      <w:r w:rsidRPr="000D770E">
        <w:rPr>
          <w:sz w:val="30"/>
          <w:szCs w:val="30"/>
        </w:rPr>
        <w:t xml:space="preserve">текущего года сформированы в объеме </w:t>
      </w:r>
      <w:r w:rsidR="009E08F4">
        <w:rPr>
          <w:sz w:val="30"/>
          <w:szCs w:val="30"/>
        </w:rPr>
        <w:t>27 530,3</w:t>
      </w:r>
      <w:r w:rsidRPr="000D770E">
        <w:rPr>
          <w:sz w:val="30"/>
          <w:szCs w:val="30"/>
        </w:rPr>
        <w:t xml:space="preserve"> тыс. рублей или </w:t>
      </w:r>
      <w:r w:rsidR="009E08F4">
        <w:rPr>
          <w:sz w:val="30"/>
          <w:szCs w:val="30"/>
        </w:rPr>
        <w:t>50,0</w:t>
      </w:r>
      <w:r w:rsidRPr="000D770E">
        <w:rPr>
          <w:sz w:val="30"/>
          <w:szCs w:val="30"/>
        </w:rPr>
        <w:t xml:space="preserve"> % годового плана. Удельный вес собственных доходов составляет 40,</w:t>
      </w:r>
      <w:r w:rsidR="009E08F4">
        <w:rPr>
          <w:sz w:val="30"/>
          <w:szCs w:val="30"/>
        </w:rPr>
        <w:t>1</w:t>
      </w:r>
      <w:r w:rsidRPr="000D770E">
        <w:rPr>
          <w:sz w:val="30"/>
          <w:szCs w:val="30"/>
        </w:rPr>
        <w:t xml:space="preserve"> % (</w:t>
      </w:r>
      <w:r w:rsidR="0043528E">
        <w:rPr>
          <w:sz w:val="30"/>
          <w:szCs w:val="30"/>
        </w:rPr>
        <w:t>11 029,8</w:t>
      </w:r>
      <w:r w:rsidRPr="000D770E">
        <w:rPr>
          <w:sz w:val="30"/>
          <w:szCs w:val="30"/>
        </w:rPr>
        <w:t xml:space="preserve"> тыс. рублей), безвозмездных поступлений </w:t>
      </w:r>
      <w:proofErr w:type="gramStart"/>
      <w:r w:rsidRPr="000D770E">
        <w:rPr>
          <w:sz w:val="30"/>
          <w:szCs w:val="30"/>
        </w:rPr>
        <w:t>–  59</w:t>
      </w:r>
      <w:proofErr w:type="gramEnd"/>
      <w:r w:rsidRPr="000D770E">
        <w:rPr>
          <w:sz w:val="30"/>
          <w:szCs w:val="30"/>
        </w:rPr>
        <w:t>,2 % (</w:t>
      </w:r>
      <w:r w:rsidR="0043528E">
        <w:rPr>
          <w:sz w:val="30"/>
          <w:szCs w:val="30"/>
        </w:rPr>
        <w:t>16 500,5</w:t>
      </w:r>
      <w:r w:rsidRPr="000D770E">
        <w:rPr>
          <w:sz w:val="30"/>
          <w:szCs w:val="30"/>
        </w:rPr>
        <w:t xml:space="preserve">  тыс. рублей). </w:t>
      </w:r>
    </w:p>
    <w:p w:rsidR="00606F3D" w:rsidRPr="000D770E" w:rsidRDefault="00606F3D" w:rsidP="00606F3D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Сумма полученной дотации из республиканского бюджета за 1 </w:t>
      </w:r>
      <w:r w:rsidR="0043528E">
        <w:rPr>
          <w:sz w:val="30"/>
          <w:szCs w:val="30"/>
        </w:rPr>
        <w:t>полугодие</w:t>
      </w:r>
      <w:r w:rsidRPr="000D770E">
        <w:rPr>
          <w:sz w:val="30"/>
          <w:szCs w:val="30"/>
        </w:rPr>
        <w:t xml:space="preserve"> 2021 года составила </w:t>
      </w:r>
      <w:r w:rsidR="0043528E">
        <w:rPr>
          <w:sz w:val="30"/>
          <w:szCs w:val="30"/>
        </w:rPr>
        <w:t>14 634,8</w:t>
      </w:r>
      <w:r w:rsidRPr="000D770E">
        <w:rPr>
          <w:sz w:val="30"/>
          <w:szCs w:val="30"/>
        </w:rPr>
        <w:t xml:space="preserve">,0 тыс. рублей или </w:t>
      </w:r>
      <w:r w:rsidR="0043528E">
        <w:rPr>
          <w:sz w:val="30"/>
          <w:szCs w:val="30"/>
        </w:rPr>
        <w:t>51,8</w:t>
      </w:r>
      <w:r w:rsidRPr="000D770E">
        <w:rPr>
          <w:sz w:val="30"/>
          <w:szCs w:val="30"/>
        </w:rPr>
        <w:t xml:space="preserve"> </w:t>
      </w:r>
      <w:proofErr w:type="gramStart"/>
      <w:r w:rsidRPr="000D770E">
        <w:rPr>
          <w:sz w:val="30"/>
          <w:szCs w:val="30"/>
        </w:rPr>
        <w:t>%  годового</w:t>
      </w:r>
      <w:proofErr w:type="gramEnd"/>
      <w:r w:rsidRPr="000D770E">
        <w:rPr>
          <w:sz w:val="30"/>
          <w:szCs w:val="30"/>
        </w:rPr>
        <w:t xml:space="preserve"> плана. </w:t>
      </w:r>
    </w:p>
    <w:p w:rsidR="00687C06" w:rsidRDefault="00687C06" w:rsidP="00606F3D">
      <w:pPr>
        <w:jc w:val="center"/>
        <w:rPr>
          <w:sz w:val="30"/>
          <w:szCs w:val="30"/>
        </w:rPr>
      </w:pPr>
    </w:p>
    <w:p w:rsidR="00606F3D" w:rsidRPr="000D770E" w:rsidRDefault="00687C06" w:rsidP="00606F3D">
      <w:pPr>
        <w:jc w:val="center"/>
        <w:rPr>
          <w:sz w:val="30"/>
          <w:szCs w:val="30"/>
        </w:rPr>
      </w:pPr>
      <w:r w:rsidRPr="00687C06">
        <w:rPr>
          <w:sz w:val="30"/>
          <w:szCs w:val="30"/>
        </w:rPr>
        <w:t>Исполнение доходной части бюджета района за 1 полугодие 2021 года</w:t>
      </w:r>
      <w:r w:rsidRPr="00687C06">
        <w:rPr>
          <w:sz w:val="30"/>
          <w:szCs w:val="30"/>
        </w:rPr>
        <w:br/>
        <w:t>Всего – 27 530,3 тыс. руб.</w:t>
      </w:r>
    </w:p>
    <w:p w:rsidR="00606F3D" w:rsidRDefault="00687C06" w:rsidP="00606F3D">
      <w:pPr>
        <w:rPr>
          <w:sz w:val="30"/>
          <w:szCs w:val="30"/>
        </w:rPr>
      </w:pPr>
      <w:r w:rsidRPr="00687C06">
        <w:rPr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E6B2269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6048375" cy="3459480"/>
            <wp:effectExtent l="0" t="0" r="9525" b="762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p w:rsidR="00606F3D" w:rsidRPr="001D01C0" w:rsidRDefault="00687C06" w:rsidP="00606F3D">
      <w:pPr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606F3D" w:rsidRPr="000D770E" w:rsidRDefault="00606F3D" w:rsidP="00606F3D">
      <w:pPr>
        <w:ind w:firstLine="720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Доходная часть бюджета Петриковского района за 1 </w:t>
      </w:r>
      <w:r w:rsidR="00687C06">
        <w:rPr>
          <w:sz w:val="30"/>
          <w:szCs w:val="30"/>
        </w:rPr>
        <w:t>полугодие</w:t>
      </w:r>
      <w:r w:rsidRPr="000D770E">
        <w:rPr>
          <w:sz w:val="30"/>
          <w:szCs w:val="30"/>
        </w:rPr>
        <w:t xml:space="preserve"> 2021 года сформирована в сумме </w:t>
      </w:r>
      <w:r w:rsidR="00687C06">
        <w:rPr>
          <w:sz w:val="30"/>
          <w:szCs w:val="30"/>
        </w:rPr>
        <w:t>11 029,8</w:t>
      </w:r>
      <w:r w:rsidRPr="000D770E">
        <w:rPr>
          <w:sz w:val="30"/>
          <w:szCs w:val="30"/>
        </w:rPr>
        <w:t xml:space="preserve"> тыс. рублей налоговых и неналоговых платежей. Годовые плановые назначения доходной части консолидированного </w:t>
      </w:r>
      <w:proofErr w:type="gramStart"/>
      <w:r w:rsidRPr="000D770E">
        <w:rPr>
          <w:sz w:val="30"/>
          <w:szCs w:val="30"/>
        </w:rPr>
        <w:t>бюджета  исполнены</w:t>
      </w:r>
      <w:proofErr w:type="gramEnd"/>
      <w:r w:rsidRPr="000D770E">
        <w:rPr>
          <w:sz w:val="30"/>
          <w:szCs w:val="30"/>
        </w:rPr>
        <w:t xml:space="preserve"> на </w:t>
      </w:r>
      <w:r w:rsidR="00687C06">
        <w:rPr>
          <w:sz w:val="30"/>
          <w:szCs w:val="30"/>
        </w:rPr>
        <w:t>48,8</w:t>
      </w:r>
      <w:r w:rsidRPr="000D770E">
        <w:rPr>
          <w:sz w:val="30"/>
          <w:szCs w:val="30"/>
        </w:rPr>
        <w:t xml:space="preserve"> %. План 1 </w:t>
      </w:r>
      <w:r w:rsidR="00687C06">
        <w:rPr>
          <w:sz w:val="30"/>
          <w:szCs w:val="30"/>
        </w:rPr>
        <w:t>полугодия</w:t>
      </w:r>
      <w:r w:rsidRPr="000D770E">
        <w:rPr>
          <w:sz w:val="30"/>
          <w:szCs w:val="30"/>
        </w:rPr>
        <w:t xml:space="preserve"> </w:t>
      </w:r>
      <w:proofErr w:type="gramStart"/>
      <w:r w:rsidRPr="000D770E">
        <w:rPr>
          <w:sz w:val="30"/>
          <w:szCs w:val="30"/>
        </w:rPr>
        <w:t>в  целом</w:t>
      </w:r>
      <w:proofErr w:type="gramEnd"/>
      <w:r w:rsidRPr="000D770E">
        <w:rPr>
          <w:sz w:val="30"/>
          <w:szCs w:val="30"/>
        </w:rPr>
        <w:t xml:space="preserve"> по бюджету района выполнен на 100,9 %. </w:t>
      </w:r>
    </w:p>
    <w:p w:rsidR="00606F3D" w:rsidRPr="000D770E" w:rsidRDefault="00606F3D" w:rsidP="00606F3D">
      <w:pPr>
        <w:jc w:val="both"/>
        <w:rPr>
          <w:sz w:val="30"/>
          <w:szCs w:val="30"/>
        </w:rPr>
      </w:pPr>
    </w:p>
    <w:p w:rsidR="00212CFC" w:rsidRDefault="00212CFC" w:rsidP="00606F3D">
      <w:pPr>
        <w:ind w:firstLine="720"/>
        <w:jc w:val="both"/>
        <w:rPr>
          <w:sz w:val="30"/>
          <w:szCs w:val="30"/>
        </w:rPr>
      </w:pPr>
    </w:p>
    <w:p w:rsidR="00606F3D" w:rsidRPr="000D770E" w:rsidRDefault="00212CFC" w:rsidP="00606F3D">
      <w:pPr>
        <w:ind w:firstLine="720"/>
        <w:jc w:val="both"/>
        <w:rPr>
          <w:sz w:val="30"/>
          <w:szCs w:val="30"/>
        </w:rPr>
      </w:pPr>
      <w:r w:rsidRPr="00212CFC">
        <w:rPr>
          <w:sz w:val="30"/>
          <w:szCs w:val="30"/>
        </w:rPr>
        <w:lastRenderedPageBreak/>
        <w:t>Структура доходов за 1 полугодие 2021 года</w:t>
      </w:r>
      <w:r w:rsidRPr="00212CFC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             </w:t>
      </w:r>
      <w:r w:rsidRPr="00212CFC">
        <w:rPr>
          <w:sz w:val="30"/>
          <w:szCs w:val="30"/>
        </w:rPr>
        <w:t>Всего – 11 029,8 тыс. руб.</w:t>
      </w:r>
    </w:p>
    <w:p w:rsidR="00606F3D" w:rsidRPr="00B57857" w:rsidRDefault="00212CFC" w:rsidP="00606F3D">
      <w:pPr>
        <w:ind w:firstLine="720"/>
        <w:jc w:val="center"/>
        <w:rPr>
          <w:color w:val="FF0000"/>
          <w:sz w:val="30"/>
          <w:szCs w:val="30"/>
        </w:rPr>
      </w:pPr>
      <w:r w:rsidRPr="00212CFC">
        <w:rPr>
          <w:color w:val="FF0000"/>
          <w:sz w:val="30"/>
          <w:szCs w:val="30"/>
        </w:rPr>
        <w:drawing>
          <wp:inline distT="0" distB="0" distL="0" distR="0" wp14:anchorId="522DD6AC" wp14:editId="37D936BE">
            <wp:extent cx="5686425" cy="3981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785" w:rsidRDefault="00284785" w:rsidP="00284785">
      <w:pPr>
        <w:ind w:firstLine="709"/>
        <w:jc w:val="both"/>
        <w:rPr>
          <w:sz w:val="30"/>
          <w:szCs w:val="30"/>
        </w:rPr>
      </w:pPr>
    </w:p>
    <w:p w:rsidR="000A272E" w:rsidRDefault="000A272E" w:rsidP="00284785">
      <w:pPr>
        <w:ind w:firstLine="709"/>
        <w:jc w:val="both"/>
        <w:rPr>
          <w:sz w:val="30"/>
          <w:szCs w:val="30"/>
        </w:rPr>
      </w:pPr>
    </w:p>
    <w:p w:rsidR="000A272E" w:rsidRDefault="000A272E" w:rsidP="00284785">
      <w:pPr>
        <w:ind w:firstLine="709"/>
        <w:jc w:val="both"/>
        <w:rPr>
          <w:sz w:val="30"/>
          <w:szCs w:val="30"/>
        </w:rPr>
      </w:pPr>
    </w:p>
    <w:p w:rsidR="00284785" w:rsidRPr="00420AF9" w:rsidRDefault="00284785" w:rsidP="002847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январе-июне 2021 года с</w:t>
      </w:r>
      <w:r w:rsidRPr="00420AF9">
        <w:rPr>
          <w:sz w:val="30"/>
          <w:szCs w:val="30"/>
        </w:rPr>
        <w:t xml:space="preserve">обственная доходная часть бюджета района </w:t>
      </w:r>
      <w:bookmarkStart w:id="0" w:name="_GoBack"/>
      <w:bookmarkEnd w:id="0"/>
      <w:r w:rsidRPr="00420AF9">
        <w:rPr>
          <w:sz w:val="30"/>
          <w:szCs w:val="30"/>
        </w:rPr>
        <w:t>на 87,</w:t>
      </w:r>
      <w:r>
        <w:rPr>
          <w:sz w:val="30"/>
          <w:szCs w:val="30"/>
        </w:rPr>
        <w:t>1</w:t>
      </w:r>
      <w:r w:rsidRPr="00420AF9">
        <w:rPr>
          <w:sz w:val="30"/>
          <w:szCs w:val="30"/>
        </w:rPr>
        <w:t xml:space="preserve"> % сформирована за счет налоговых доходов и на 12,</w:t>
      </w:r>
      <w:r>
        <w:rPr>
          <w:sz w:val="30"/>
          <w:szCs w:val="30"/>
        </w:rPr>
        <w:t>9</w:t>
      </w:r>
      <w:r w:rsidRPr="00420AF9">
        <w:rPr>
          <w:sz w:val="30"/>
          <w:szCs w:val="30"/>
        </w:rPr>
        <w:t xml:space="preserve">% - за счет неналоговых платежей. При этом поступления четырех основных доходных источников </w:t>
      </w:r>
      <w:proofErr w:type="gramStart"/>
      <w:r w:rsidRPr="00420AF9">
        <w:rPr>
          <w:sz w:val="30"/>
          <w:szCs w:val="30"/>
        </w:rPr>
        <w:t>обеспечили  8</w:t>
      </w:r>
      <w:r>
        <w:rPr>
          <w:sz w:val="30"/>
          <w:szCs w:val="30"/>
        </w:rPr>
        <w:t>6</w:t>
      </w:r>
      <w:proofErr w:type="gramEnd"/>
      <w:r>
        <w:rPr>
          <w:sz w:val="30"/>
          <w:szCs w:val="30"/>
        </w:rPr>
        <w:t>,4</w:t>
      </w:r>
      <w:r w:rsidRPr="00420AF9">
        <w:rPr>
          <w:sz w:val="30"/>
          <w:szCs w:val="30"/>
        </w:rPr>
        <w:t xml:space="preserve"> % общей суммы доходов: подоходный налог – 44,7 %, налог на добавленную стоимость – 1</w:t>
      </w:r>
      <w:r>
        <w:rPr>
          <w:sz w:val="30"/>
          <w:szCs w:val="30"/>
        </w:rPr>
        <w:t>6</w:t>
      </w:r>
      <w:r w:rsidRPr="00420AF9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420AF9">
        <w:rPr>
          <w:sz w:val="30"/>
          <w:szCs w:val="30"/>
        </w:rPr>
        <w:t xml:space="preserve"> %, налоги на собственность  – 15,7 %, другие налоги от выручки от реализации товаров (работ, услуг)  – </w:t>
      </w:r>
      <w:r>
        <w:rPr>
          <w:sz w:val="30"/>
          <w:szCs w:val="30"/>
        </w:rPr>
        <w:t>9,</w:t>
      </w:r>
      <w:r w:rsidRPr="00420AF9">
        <w:rPr>
          <w:sz w:val="30"/>
          <w:szCs w:val="30"/>
        </w:rPr>
        <w:t xml:space="preserve">1 %. </w:t>
      </w:r>
    </w:p>
    <w:p w:rsidR="00606F3D" w:rsidRPr="00CD1730" w:rsidRDefault="00606F3D" w:rsidP="00606F3D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В 1 </w:t>
      </w:r>
      <w:r w:rsidR="00284785">
        <w:rPr>
          <w:sz w:val="30"/>
          <w:szCs w:val="30"/>
        </w:rPr>
        <w:t>полугодии</w:t>
      </w:r>
      <w:r w:rsidRPr="00CD1730">
        <w:rPr>
          <w:sz w:val="30"/>
          <w:szCs w:val="30"/>
        </w:rPr>
        <w:t xml:space="preserve"> текущего года в бюджет района поступило </w:t>
      </w:r>
      <w:r w:rsidR="00284785">
        <w:rPr>
          <w:sz w:val="30"/>
          <w:szCs w:val="30"/>
        </w:rPr>
        <w:t>4 933,5</w:t>
      </w:r>
      <w:r w:rsidRPr="00CD1730">
        <w:rPr>
          <w:sz w:val="30"/>
          <w:szCs w:val="30"/>
        </w:rPr>
        <w:t xml:space="preserve"> тыс. рублей подоходного налога с физических лиц. Годовые плановые назначения исполнены на </w:t>
      </w:r>
      <w:r w:rsidR="00284785">
        <w:rPr>
          <w:sz w:val="30"/>
          <w:szCs w:val="30"/>
        </w:rPr>
        <w:t>5</w:t>
      </w:r>
      <w:r w:rsidRPr="00CD1730">
        <w:rPr>
          <w:sz w:val="30"/>
          <w:szCs w:val="30"/>
        </w:rPr>
        <w:t>2</w:t>
      </w:r>
      <w:r w:rsidR="00284785">
        <w:rPr>
          <w:sz w:val="30"/>
          <w:szCs w:val="30"/>
        </w:rPr>
        <w:t>,6</w:t>
      </w:r>
      <w:r w:rsidRPr="00CD1730">
        <w:rPr>
          <w:sz w:val="30"/>
          <w:szCs w:val="30"/>
        </w:rPr>
        <w:t xml:space="preserve"> %. </w:t>
      </w:r>
    </w:p>
    <w:p w:rsidR="00606F3D" w:rsidRPr="00CD1730" w:rsidRDefault="00606F3D" w:rsidP="00606F3D">
      <w:pPr>
        <w:ind w:firstLine="720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Вторым по </w:t>
      </w:r>
      <w:proofErr w:type="gramStart"/>
      <w:r w:rsidRPr="00CD1730">
        <w:rPr>
          <w:sz w:val="30"/>
          <w:szCs w:val="30"/>
        </w:rPr>
        <w:t>значимости  доходным</w:t>
      </w:r>
      <w:proofErr w:type="gramEnd"/>
      <w:r w:rsidRPr="00CD1730">
        <w:rPr>
          <w:sz w:val="30"/>
          <w:szCs w:val="30"/>
        </w:rPr>
        <w:t xml:space="preserve"> источником является налог на добавленную стоимость (1</w:t>
      </w:r>
      <w:r w:rsidR="00284785">
        <w:rPr>
          <w:sz w:val="30"/>
          <w:szCs w:val="30"/>
        </w:rPr>
        <w:t>6,9</w:t>
      </w:r>
      <w:r w:rsidRPr="00CD1730">
        <w:rPr>
          <w:sz w:val="30"/>
          <w:szCs w:val="30"/>
        </w:rPr>
        <w:t xml:space="preserve"> %), по которому в бюджет района зачислено </w:t>
      </w:r>
      <w:r w:rsidR="00284785">
        <w:rPr>
          <w:sz w:val="30"/>
          <w:szCs w:val="30"/>
        </w:rPr>
        <w:t>1 862,8</w:t>
      </w:r>
      <w:r w:rsidRPr="00CD1730">
        <w:rPr>
          <w:sz w:val="30"/>
          <w:szCs w:val="30"/>
        </w:rPr>
        <w:t xml:space="preserve"> тыс. рублей, что выше уровня прошлого года на </w:t>
      </w:r>
      <w:r w:rsidR="00284785">
        <w:rPr>
          <w:sz w:val="30"/>
          <w:szCs w:val="30"/>
        </w:rPr>
        <w:t>354</w:t>
      </w:r>
      <w:r w:rsidRPr="00CD1730">
        <w:rPr>
          <w:sz w:val="30"/>
          <w:szCs w:val="30"/>
        </w:rPr>
        <w:t xml:space="preserve">,5 тыс. рублей  или на </w:t>
      </w:r>
      <w:r w:rsidR="00284785">
        <w:rPr>
          <w:sz w:val="30"/>
          <w:szCs w:val="30"/>
        </w:rPr>
        <w:t>23,5</w:t>
      </w:r>
      <w:r w:rsidRPr="00CD1730">
        <w:rPr>
          <w:sz w:val="30"/>
          <w:szCs w:val="30"/>
        </w:rPr>
        <w:t xml:space="preserve"> %. Процент исполнения годового плана составил </w:t>
      </w:r>
      <w:r w:rsidR="00284785">
        <w:rPr>
          <w:sz w:val="30"/>
          <w:szCs w:val="30"/>
        </w:rPr>
        <w:t>50,</w:t>
      </w:r>
      <w:r w:rsidRPr="00CD1730">
        <w:rPr>
          <w:sz w:val="30"/>
          <w:szCs w:val="30"/>
        </w:rPr>
        <w:t>4 %.</w:t>
      </w:r>
    </w:p>
    <w:p w:rsidR="00606F3D" w:rsidRPr="00CD1730" w:rsidRDefault="00606F3D" w:rsidP="00606F3D">
      <w:pPr>
        <w:ind w:firstLine="720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За 1 </w:t>
      </w:r>
      <w:r w:rsidR="00284785">
        <w:rPr>
          <w:sz w:val="30"/>
          <w:szCs w:val="30"/>
        </w:rPr>
        <w:t>полугодие</w:t>
      </w:r>
      <w:r w:rsidRPr="00CD1730">
        <w:rPr>
          <w:sz w:val="30"/>
          <w:szCs w:val="30"/>
        </w:rPr>
        <w:t xml:space="preserve"> 2021 года в бюджет </w:t>
      </w:r>
      <w:proofErr w:type="gramStart"/>
      <w:r w:rsidRPr="00CD1730">
        <w:rPr>
          <w:sz w:val="30"/>
          <w:szCs w:val="30"/>
        </w:rPr>
        <w:t>района  поступило</w:t>
      </w:r>
      <w:proofErr w:type="gramEnd"/>
      <w:r w:rsidRPr="00CD1730">
        <w:rPr>
          <w:sz w:val="30"/>
          <w:szCs w:val="30"/>
        </w:rPr>
        <w:t xml:space="preserve"> </w:t>
      </w:r>
      <w:r w:rsidR="00284785">
        <w:rPr>
          <w:sz w:val="30"/>
          <w:szCs w:val="30"/>
        </w:rPr>
        <w:t>1 730,5</w:t>
      </w:r>
      <w:r w:rsidRPr="00CD1730">
        <w:rPr>
          <w:sz w:val="30"/>
          <w:szCs w:val="30"/>
        </w:rPr>
        <w:t xml:space="preserve"> тыс. рублей налогов на собственность, что составляет  </w:t>
      </w:r>
      <w:r w:rsidR="00284785">
        <w:rPr>
          <w:sz w:val="30"/>
          <w:szCs w:val="30"/>
        </w:rPr>
        <w:t>55,6</w:t>
      </w:r>
      <w:r w:rsidRPr="00CD1730">
        <w:rPr>
          <w:sz w:val="30"/>
          <w:szCs w:val="30"/>
        </w:rPr>
        <w:t xml:space="preserve"> % годового план.</w:t>
      </w:r>
    </w:p>
    <w:p w:rsidR="00606F3D" w:rsidRPr="00CD1730" w:rsidRDefault="00606F3D" w:rsidP="00606F3D">
      <w:pPr>
        <w:ind w:firstLine="720"/>
        <w:jc w:val="both"/>
        <w:rPr>
          <w:sz w:val="30"/>
          <w:szCs w:val="30"/>
        </w:rPr>
      </w:pP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  <w:r w:rsidRPr="00006457">
        <w:rPr>
          <w:color w:val="FF0000"/>
          <w:sz w:val="30"/>
          <w:szCs w:val="30"/>
        </w:rPr>
        <w:t xml:space="preserve"> </w:t>
      </w: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Pr="000A272E" w:rsidRDefault="00B74C27" w:rsidP="00606F3D">
      <w:pPr>
        <w:ind w:firstLine="709"/>
        <w:jc w:val="both"/>
        <w:rPr>
          <w:sz w:val="30"/>
          <w:szCs w:val="30"/>
        </w:rPr>
      </w:pPr>
      <w:r w:rsidRPr="000A272E">
        <w:rPr>
          <w:sz w:val="30"/>
          <w:szCs w:val="30"/>
        </w:rPr>
        <w:t>Расходы районного бюджета за 1 полугодие 2021 года</w:t>
      </w:r>
      <w:r w:rsidRPr="000A272E">
        <w:rPr>
          <w:sz w:val="30"/>
          <w:szCs w:val="30"/>
        </w:rPr>
        <w:br/>
      </w:r>
      <w:r w:rsidR="00BD14D2" w:rsidRPr="000A272E">
        <w:rPr>
          <w:sz w:val="30"/>
          <w:szCs w:val="30"/>
        </w:rPr>
        <w:t xml:space="preserve">                                        </w:t>
      </w:r>
      <w:r w:rsidRPr="000A272E">
        <w:rPr>
          <w:sz w:val="30"/>
          <w:szCs w:val="30"/>
        </w:rPr>
        <w:t>Всего – 29 38</w:t>
      </w:r>
      <w:r w:rsidR="00BD14D2" w:rsidRPr="000A272E">
        <w:rPr>
          <w:sz w:val="30"/>
          <w:szCs w:val="30"/>
        </w:rPr>
        <w:t>6</w:t>
      </w:r>
      <w:r w:rsidRPr="000A272E">
        <w:rPr>
          <w:sz w:val="30"/>
          <w:szCs w:val="30"/>
        </w:rPr>
        <w:t>,5 тыс. руб.</w:t>
      </w:r>
    </w:p>
    <w:p w:rsidR="00606F3D" w:rsidRPr="000A272E" w:rsidRDefault="00606F3D" w:rsidP="00606F3D">
      <w:pPr>
        <w:ind w:firstLine="709"/>
        <w:jc w:val="both"/>
        <w:rPr>
          <w:sz w:val="30"/>
          <w:szCs w:val="30"/>
        </w:rPr>
      </w:pP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Default="00BD14D2" w:rsidP="00606F3D">
      <w:pPr>
        <w:ind w:firstLine="709"/>
        <w:jc w:val="both"/>
        <w:rPr>
          <w:color w:val="FF0000"/>
          <w:sz w:val="30"/>
          <w:szCs w:val="30"/>
        </w:rPr>
      </w:pPr>
      <w:r w:rsidRPr="00893FBB">
        <w:rPr>
          <w:b/>
          <w:color w:val="FF0000"/>
          <w:sz w:val="30"/>
          <w:szCs w:val="30"/>
        </w:rPr>
        <w:drawing>
          <wp:inline distT="0" distB="0" distL="0" distR="0" wp14:anchorId="48FA2D87" wp14:editId="43B00113">
            <wp:extent cx="5748655" cy="3981450"/>
            <wp:effectExtent l="0" t="0" r="444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Default="00606F3D" w:rsidP="00606F3D">
      <w:pPr>
        <w:ind w:firstLine="709"/>
        <w:jc w:val="both"/>
        <w:rPr>
          <w:color w:val="FF0000"/>
          <w:sz w:val="30"/>
          <w:szCs w:val="30"/>
        </w:rPr>
      </w:pPr>
    </w:p>
    <w:p w:rsidR="00606F3D" w:rsidRPr="001D01C0" w:rsidRDefault="00606F3D" w:rsidP="00606F3D">
      <w:pPr>
        <w:ind w:firstLine="720"/>
        <w:jc w:val="both"/>
        <w:rPr>
          <w:sz w:val="30"/>
          <w:szCs w:val="30"/>
        </w:rPr>
      </w:pPr>
    </w:p>
    <w:p w:rsidR="00606F3D" w:rsidRPr="00CD1730" w:rsidRDefault="00606F3D" w:rsidP="00606F3D">
      <w:pPr>
        <w:ind w:firstLine="709"/>
        <w:jc w:val="both"/>
        <w:rPr>
          <w:sz w:val="30"/>
          <w:szCs w:val="30"/>
        </w:rPr>
      </w:pPr>
    </w:p>
    <w:p w:rsidR="00332103" w:rsidRDefault="00606F3D" w:rsidP="00332103">
      <w:pPr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        </w:t>
      </w:r>
      <w:r w:rsidR="00332103" w:rsidRPr="0099636C">
        <w:rPr>
          <w:sz w:val="30"/>
          <w:szCs w:val="30"/>
        </w:rPr>
        <w:t xml:space="preserve">Отрасли социальной сферы за 1 </w:t>
      </w:r>
      <w:r w:rsidR="00332103">
        <w:rPr>
          <w:sz w:val="30"/>
          <w:szCs w:val="30"/>
        </w:rPr>
        <w:t>полугодие</w:t>
      </w:r>
      <w:r w:rsidR="00332103" w:rsidRPr="0099636C">
        <w:rPr>
          <w:sz w:val="30"/>
          <w:szCs w:val="30"/>
        </w:rPr>
        <w:t xml:space="preserve"> 2021 года профинансированы в </w:t>
      </w:r>
      <w:proofErr w:type="gramStart"/>
      <w:r w:rsidR="00332103" w:rsidRPr="0099636C">
        <w:rPr>
          <w:sz w:val="30"/>
          <w:szCs w:val="30"/>
        </w:rPr>
        <w:t xml:space="preserve">сумме </w:t>
      </w:r>
      <w:r w:rsidR="00332103">
        <w:rPr>
          <w:sz w:val="30"/>
          <w:szCs w:val="30"/>
        </w:rPr>
        <w:t xml:space="preserve"> 23</w:t>
      </w:r>
      <w:proofErr w:type="gramEnd"/>
      <w:r w:rsidR="00332103">
        <w:rPr>
          <w:sz w:val="30"/>
          <w:szCs w:val="30"/>
        </w:rPr>
        <w:t> 367,4</w:t>
      </w:r>
      <w:r w:rsidR="00332103" w:rsidRPr="0099636C">
        <w:rPr>
          <w:sz w:val="30"/>
          <w:szCs w:val="30"/>
        </w:rPr>
        <w:t xml:space="preserve"> тыс. рублей или на </w:t>
      </w:r>
      <w:r w:rsidR="00332103">
        <w:rPr>
          <w:sz w:val="30"/>
          <w:szCs w:val="30"/>
        </w:rPr>
        <w:t>54,2</w:t>
      </w:r>
      <w:r w:rsidR="00332103" w:rsidRPr="0099636C">
        <w:rPr>
          <w:sz w:val="30"/>
          <w:szCs w:val="30"/>
        </w:rPr>
        <w:t xml:space="preserve"> % к уточненному годовому плану. Их удельный вес в общих расходах бюджета </w:t>
      </w:r>
      <w:proofErr w:type="gramStart"/>
      <w:r w:rsidR="00332103" w:rsidRPr="0099636C">
        <w:rPr>
          <w:sz w:val="30"/>
          <w:szCs w:val="30"/>
        </w:rPr>
        <w:t>составил  7</w:t>
      </w:r>
      <w:r w:rsidR="00332103">
        <w:rPr>
          <w:sz w:val="30"/>
          <w:szCs w:val="30"/>
        </w:rPr>
        <w:t>9</w:t>
      </w:r>
      <w:proofErr w:type="gramEnd"/>
      <w:r w:rsidR="00332103" w:rsidRPr="0099636C">
        <w:rPr>
          <w:sz w:val="30"/>
          <w:szCs w:val="30"/>
        </w:rPr>
        <w:t>,</w:t>
      </w:r>
      <w:r w:rsidR="00332103">
        <w:rPr>
          <w:sz w:val="30"/>
          <w:szCs w:val="30"/>
        </w:rPr>
        <w:t>5</w:t>
      </w:r>
      <w:r w:rsidR="00332103" w:rsidRPr="0099636C">
        <w:rPr>
          <w:sz w:val="30"/>
          <w:szCs w:val="30"/>
        </w:rPr>
        <w:t xml:space="preserve"> %. </w:t>
      </w:r>
    </w:p>
    <w:p w:rsidR="00332103" w:rsidRPr="00CD1730" w:rsidRDefault="00332103" w:rsidP="00332103">
      <w:pPr>
        <w:ind w:firstLine="709"/>
        <w:jc w:val="both"/>
        <w:rPr>
          <w:sz w:val="30"/>
          <w:szCs w:val="30"/>
        </w:rPr>
      </w:pPr>
      <w:r w:rsidRPr="00CD1730">
        <w:rPr>
          <w:sz w:val="30"/>
          <w:szCs w:val="30"/>
        </w:rPr>
        <w:t xml:space="preserve">В сложившейся структуре расходов </w:t>
      </w:r>
      <w:r>
        <w:rPr>
          <w:sz w:val="30"/>
          <w:szCs w:val="30"/>
        </w:rPr>
        <w:t>22 583,2</w:t>
      </w:r>
      <w:r w:rsidRPr="00CD1730">
        <w:rPr>
          <w:sz w:val="30"/>
          <w:szCs w:val="30"/>
        </w:rPr>
        <w:t xml:space="preserve"> тыс. рублей или 9</w:t>
      </w:r>
      <w:r>
        <w:rPr>
          <w:sz w:val="30"/>
          <w:szCs w:val="30"/>
        </w:rPr>
        <w:t>6</w:t>
      </w:r>
      <w:r w:rsidRPr="00CD1730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CD1730">
        <w:rPr>
          <w:sz w:val="30"/>
          <w:szCs w:val="30"/>
        </w:rPr>
        <w:t>% составили первоочередные статьи расходов.</w:t>
      </w:r>
    </w:p>
    <w:p w:rsidR="00332103" w:rsidRPr="0099636C" w:rsidRDefault="00332103" w:rsidP="00332103">
      <w:pPr>
        <w:jc w:val="both"/>
        <w:rPr>
          <w:sz w:val="30"/>
          <w:szCs w:val="30"/>
        </w:rPr>
      </w:pPr>
    </w:p>
    <w:p w:rsidR="00606F3D" w:rsidRPr="00CD1730" w:rsidRDefault="00606F3D" w:rsidP="00606F3D">
      <w:pPr>
        <w:jc w:val="both"/>
        <w:rPr>
          <w:sz w:val="30"/>
          <w:szCs w:val="30"/>
        </w:rPr>
      </w:pPr>
    </w:p>
    <w:p w:rsidR="00606F3D" w:rsidRPr="00BA7431" w:rsidRDefault="00606F3D" w:rsidP="00606F3D">
      <w:pPr>
        <w:jc w:val="both"/>
        <w:rPr>
          <w:sz w:val="30"/>
          <w:szCs w:val="30"/>
        </w:rPr>
      </w:pPr>
    </w:p>
    <w:p w:rsidR="00DD0946" w:rsidRDefault="00DD0946"/>
    <w:sectPr w:rsidR="00DD0946" w:rsidSect="00143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3D"/>
    <w:rsid w:val="000A272E"/>
    <w:rsid w:val="00212CFC"/>
    <w:rsid w:val="00284785"/>
    <w:rsid w:val="002F33B5"/>
    <w:rsid w:val="00332103"/>
    <w:rsid w:val="0043528E"/>
    <w:rsid w:val="00526BB7"/>
    <w:rsid w:val="00606F3D"/>
    <w:rsid w:val="00687C06"/>
    <w:rsid w:val="007547E9"/>
    <w:rsid w:val="00893FBB"/>
    <w:rsid w:val="009E08F4"/>
    <w:rsid w:val="00B74C27"/>
    <w:rsid w:val="00BD14D2"/>
    <w:rsid w:val="00D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D7A"/>
  <w15:chartTrackingRefBased/>
  <w15:docId w15:val="{D0E24B29-1B68-48D3-A0FE-C858D64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A63-4600-8B6A-8AF62BF9B53B}"/>
              </c:ext>
            </c:extLst>
          </c:dPt>
          <c:dPt>
            <c:idx val="1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A63-4600-8B6A-8AF62BF9B53B}"/>
              </c:ext>
            </c:extLst>
          </c:dPt>
          <c:dPt>
            <c:idx val="2"/>
            <c:bubble3D val="0"/>
            <c:explosion val="4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A63-4600-8B6A-8AF62BF9B5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A63-4600-8B6A-8AF62BF9B53B}"/>
              </c:ext>
            </c:extLst>
          </c:dPt>
          <c:dLbls>
            <c:dLbl>
              <c:idx val="0"/>
              <c:layout>
                <c:manualLayout>
                  <c:x val="0.22989394618355621"/>
                  <c:y val="6.147455686981830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FE867D4-C3E2-412A-BDC0-7F1CB8E1F032}" type="CATEGORYNAME"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E4FCDFC-5C6D-426F-84EC-D041067CC175}" type="VALUE"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675698F-3D10-46F1-966F-96A5FB194CAC}" type="PERCENTAGE">
                      <a:rPr lang="ru-RU" sz="12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684292512216461"/>
                      <c:h val="0.441262848751835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63-4600-8B6A-8AF62BF9B53B}"/>
                </c:ext>
              </c:extLst>
            </c:dLbl>
            <c:dLbl>
              <c:idx val="1"/>
              <c:layout>
                <c:manualLayout>
                  <c:x val="-1.6768380337235458E-2"/>
                  <c:y val="0.2073794698467758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291466615453553"/>
                      <c:h val="0.35077092511013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A63-4600-8B6A-8AF62BF9B53B}"/>
                </c:ext>
              </c:extLst>
            </c:dLbl>
            <c:dLbl>
              <c:idx val="2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63-4600-8B6A-8AF62BF9B53B}"/>
                </c:ext>
              </c:extLst>
            </c:dLbl>
            <c:dLbl>
              <c:idx val="3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63-4600-8B6A-8AF62BF9B53B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Межбюджетные трансферты из областного бюджета</c:v>
                </c:pt>
                <c:pt idx="1">
                  <c:v>Собственные доходы</c:v>
                </c:pt>
                <c:pt idx="2">
                  <c:v>Дотация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1865.7</c:v>
                </c:pt>
                <c:pt idx="1">
                  <c:v>11029.8</c:v>
                </c:pt>
                <c:pt idx="2">
                  <c:v>14634.8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63-4600-8B6A-8AF62BF9B53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B9-4AA2-9230-A0FC6333DFDD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B9-4AA2-9230-A0FC6333DFDD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B9-4AA2-9230-A0FC6333DFDD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B9-4AA2-9230-A0FC6333DFDD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5B9-4AA2-9230-A0FC6333DFDD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5B9-4AA2-9230-A0FC6333DF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5B9-4AA2-9230-A0FC6333DFD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5B9-4AA2-9230-A0FC6333DFD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5B9-4AA2-9230-A0FC6333DFDD}"/>
              </c:ext>
            </c:extLst>
          </c:dPt>
          <c:dLbls>
            <c:dLbl>
              <c:idx val="0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B9-4AA2-9230-A0FC6333DFDD}"/>
                </c:ext>
              </c:extLst>
            </c:dLbl>
            <c:dLbl>
              <c:idx val="1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B9-4AA2-9230-A0FC6333DFDD}"/>
                </c:ext>
              </c:extLst>
            </c:dLbl>
            <c:dLbl>
              <c:idx val="2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B9-4AA2-9230-A0FC6333DFDD}"/>
                </c:ext>
              </c:extLst>
            </c:dLbl>
            <c:dLbl>
              <c:idx val="3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B9-4AA2-9230-A0FC6333DFDD}"/>
                </c:ext>
              </c:extLst>
            </c:dLbl>
            <c:dLbl>
              <c:idx val="4"/>
              <c:layout>
                <c:manualLayout>
                  <c:x val="0.12364543717749558"/>
                  <c:y val="-4.085446257016916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9160162-9C1D-439B-BC5B-25E6208E8C34}" type="CATEGORYNAME">
                      <a:rPr lang="ru-RU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32104F0-BD19-4771-82E4-6BA7189954B7}" type="VALUE">
                      <a:rPr lang="ru-RU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A82F1CE-9A58-437B-8EDF-3A0A10DB9641}" type="PERCENTAGE"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5B9-4AA2-9230-A0FC6333DFDD}"/>
                </c:ext>
              </c:extLst>
            </c:dLbl>
            <c:dLbl>
              <c:idx val="5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B9-4AA2-9230-A0FC6333DFDD}"/>
                </c:ext>
              </c:extLst>
            </c:dLbl>
            <c:dLbl>
              <c:idx val="6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B9-4AA2-9230-A0FC6333DFDD}"/>
                </c:ext>
              </c:extLst>
            </c:dLbl>
            <c:dLbl>
              <c:idx val="7"/>
              <c:layout>
                <c:manualLayout>
                  <c:x val="0.10055305586801651"/>
                  <c:y val="-0.15599643346017156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59863945578231"/>
                      <c:h val="0.337799043062200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35B9-4AA2-9230-A0FC6333DFDD}"/>
                </c:ext>
              </c:extLst>
            </c:dLbl>
            <c:dLbl>
              <c:idx val="8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5B9-4AA2-9230-A0FC6333DFDD}"/>
                </c:ext>
              </c:extLst>
            </c:dLbl>
            <c:numFmt formatCode="0.0%" sourceLinked="0"/>
            <c:spPr>
              <a:solidFill>
                <a:prstClr val="white">
                  <a:alpha val="90000"/>
                </a:prst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Подоходный налог</c:v>
                </c:pt>
                <c:pt idx="1">
                  <c:v>Налоги на собственность</c:v>
                </c:pt>
                <c:pt idx="3">
                  <c:v>НДС</c:v>
                </c:pt>
                <c:pt idx="4">
                  <c:v>Другие налоги от выручки реализуемых товаров (работ, услуг)</c:v>
                </c:pt>
                <c:pt idx="7">
                  <c:v>Прочие налоговые и 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4933.5</c:v>
                </c:pt>
                <c:pt idx="1">
                  <c:v>1730.3</c:v>
                </c:pt>
                <c:pt idx="3">
                  <c:v>1862.8</c:v>
                </c:pt>
                <c:pt idx="4">
                  <c:v>1004.6</c:v>
                </c:pt>
                <c:pt idx="7">
                  <c:v>1498.6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5B9-4AA2-9230-A0FC6333DFD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0B0-4328-B28C-44E3C46F96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0B0-4328-B28C-44E3C46F96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0B0-4328-B28C-44E3C46F96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0B0-4328-B28C-44E3C46F96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0B0-4328-B28C-44E3C46F96D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0B0-4328-B28C-44E3C46F96D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0B0-4328-B28C-44E3C46F96D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0B0-4328-B28C-44E3C46F96D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0B0-4328-B28C-44E3C46F96D8}"/>
              </c:ext>
            </c:extLst>
          </c:dPt>
          <c:dLbls>
            <c:dLbl>
              <c:idx val="0"/>
              <c:layout>
                <c:manualLayout>
                  <c:x val="0"/>
                  <c:y val="-0.254030739854234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="0" baseline="0" dirty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B0-4328-B28C-44E3C46F96D8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B0-4328-B28C-44E3C46F96D8}"/>
                </c:ext>
              </c:extLst>
            </c:dLbl>
            <c:dLbl>
              <c:idx val="2"/>
              <c:layout>
                <c:manualLayout>
                  <c:x val="-0.24722222222222223"/>
                  <c:y val="2.775125729500040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B0-4328-B28C-44E3C46F96D8}"/>
                </c:ext>
              </c:extLst>
            </c:dLbl>
            <c:dLbl>
              <c:idx val="3"/>
              <c:layout>
                <c:manualLayout>
                  <c:x val="5.686100174978128E-2"/>
                  <c:y val="1.707769679692332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B0-4328-B28C-44E3C46F96D8}"/>
                </c:ext>
              </c:extLst>
            </c:dLbl>
            <c:dLbl>
              <c:idx val="4"/>
              <c:layout>
                <c:manualLayout>
                  <c:x val="-3.8888888888888785E-2"/>
                  <c:y val="0.2511942621628163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B0-4328-B28C-44E3C46F96D8}"/>
                </c:ext>
              </c:extLst>
            </c:dLbl>
            <c:dLbl>
              <c:idx val="5"/>
              <c:layout>
                <c:manualLayout>
                  <c:x val="0.14138695333209075"/>
                  <c:y val="-6.6975680620579656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B0-4328-B28C-44E3C46F96D8}"/>
                </c:ext>
              </c:extLst>
            </c:dLbl>
            <c:dLbl>
              <c:idx val="6"/>
              <c:layout>
                <c:manualLayout>
                  <c:x val="6.8070319335083118E-2"/>
                  <c:y val="-3.2723287523868435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B0-4328-B28C-44E3C46F96D8}"/>
                </c:ext>
              </c:extLst>
            </c:dLbl>
            <c:dLbl>
              <c:idx val="7"/>
              <c:layout>
                <c:manualLayout>
                  <c:x val="-9.4033245844269472E-3"/>
                  <c:y val="0.1308391939864992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B0-4328-B28C-44E3C46F96D8}"/>
                </c:ext>
              </c:extLst>
            </c:dLbl>
            <c:dLbl>
              <c:idx val="8"/>
              <c:layout>
                <c:manualLayout>
                  <c:x val="0"/>
                  <c:y val="-8.538848398461662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B0-4328-B28C-44E3C46F96D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Жилищные и коммунальные услуги</c:v>
                </c:pt>
                <c:pt idx="1">
                  <c:v>Здравоохранение</c:v>
                </c:pt>
                <c:pt idx="2">
                  <c:v>Физкультура, спорт, культура и средства массовой информации</c:v>
                </c:pt>
                <c:pt idx="3">
                  <c:v>Национальная оборона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Общегосударственная деятельность</c:v>
                </c:pt>
                <c:pt idx="7">
                  <c:v>Национальная экономика</c:v>
                </c:pt>
                <c:pt idx="8">
                  <c:v>Судебная власть, правоохранительная деятельность и обеспечение безопасности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2637.7</c:v>
                </c:pt>
                <c:pt idx="1">
                  <c:v>8322</c:v>
                </c:pt>
                <c:pt idx="2">
                  <c:v>1342.1</c:v>
                </c:pt>
                <c:pt idx="3">
                  <c:v>0.4</c:v>
                </c:pt>
                <c:pt idx="4">
                  <c:v>12382.8</c:v>
                </c:pt>
                <c:pt idx="5">
                  <c:v>1395.9</c:v>
                </c:pt>
                <c:pt idx="6">
                  <c:v>2130.1999999999998</c:v>
                </c:pt>
                <c:pt idx="7">
                  <c:v>1161.7</c:v>
                </c:pt>
                <c:pt idx="8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0B0-4328-B28C-44E3C46F96D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2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2</cp:revision>
  <cp:lastPrinted>2021-08-09T09:08:00Z</cp:lastPrinted>
  <dcterms:created xsi:type="dcterms:W3CDTF">2021-08-09T09:16:00Z</dcterms:created>
  <dcterms:modified xsi:type="dcterms:W3CDTF">2021-08-09T09:16:00Z</dcterms:modified>
</cp:coreProperties>
</file>