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10" w:rsidRPr="00A85210" w:rsidRDefault="00A85210" w:rsidP="00A852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val="ru-RU"/>
        </w:rPr>
        <w:t>О внесении</w:t>
      </w:r>
      <w:r w:rsidRPr="00A85210"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val="ru-RU"/>
        </w:rPr>
        <w:t xml:space="preserve"> изменени</w:t>
      </w:r>
      <w:r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val="ru-RU"/>
        </w:rPr>
        <w:t>й в</w:t>
      </w:r>
      <w:r w:rsidRPr="00A85210"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val="ru-RU"/>
        </w:rPr>
        <w:t xml:space="preserve"> Правил</w:t>
      </w:r>
      <w:r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val="ru-RU"/>
        </w:rPr>
        <w:t>а</w:t>
      </w:r>
      <w:r w:rsidRPr="00A85210"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val="ru-RU"/>
        </w:rPr>
        <w:t xml:space="preserve"> охоты и Правил</w:t>
      </w:r>
      <w:r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val="ru-RU"/>
        </w:rPr>
        <w:t>а</w:t>
      </w:r>
      <w:r w:rsidRPr="00A85210"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val="ru-RU"/>
        </w:rPr>
        <w:t xml:space="preserve"> ведения охотничьего хозяйства</w:t>
      </w:r>
    </w:p>
    <w:p w:rsidR="00A85210" w:rsidRDefault="00A85210" w:rsidP="00A852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</w:p>
    <w:p w:rsidR="00A85210" w:rsidRPr="00A85210" w:rsidRDefault="00A85210" w:rsidP="00A852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bookmarkStart w:id="0" w:name="_GoBack"/>
      <w:bookmarkEnd w:id="0"/>
      <w:r w:rsidRPr="00A8521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18 ноября 2024 года Главой государства подписан Указ № 420 «Об изменении Указа Президента Республики Беларусь», которым внесены изменения в Правила охоты и Правила ведения охотничьего хозяйства, утвержденные Указом Президента Республики Беларусь от 21.03.2018 № 112 «Об охоте и ведении охотничьего хозяйства».</w:t>
      </w:r>
    </w:p>
    <w:p w:rsidR="00A85210" w:rsidRPr="00A85210" w:rsidRDefault="00A85210" w:rsidP="00A852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8521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Обращаем внимание на следующие основные изменения, предусмотренные Указом Президента Республики Беларусь от 18.11.2024 № 420.</w:t>
      </w:r>
    </w:p>
    <w:p w:rsidR="00A85210" w:rsidRPr="00A85210" w:rsidRDefault="00A85210" w:rsidP="00A852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85210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1.</w:t>
      </w:r>
      <w:r w:rsidRPr="00A8521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Правила охоты дополнены определениями понятий – «добор подранка» и «подранок», отдельные определения уточнены.</w:t>
      </w:r>
    </w:p>
    <w:p w:rsidR="00A85210" w:rsidRPr="00A85210" w:rsidRDefault="00A85210" w:rsidP="00A852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85210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2.</w:t>
      </w:r>
      <w:r w:rsidRPr="00A8521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Перечень охотничьих животных нормируемых видов (приложение 2 к Правилам охоты) дополнен медведем и рысью. При этом, предусмотрен особый порядок их добычи – путем организации охоты в соответствии с Правилами охоты и на основании планов управления популяциями соответствующих видов. Правила охоты и Правила ведения охотничьего хозяйства дополнены нормами, регламентирующими организацию и проведение охоты на медведя и рысь, в том числе определены разрешенные сроки, способы и орудия охоты, а также требования в части половозрастных признаков данных животных и особых условий добора подранков.</w:t>
      </w:r>
    </w:p>
    <w:p w:rsidR="00A85210" w:rsidRPr="00A85210" w:rsidRDefault="00A85210" w:rsidP="00A85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8521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Также установлено, что планирование изъятия медведя и рыси осуществляется на основании планов управления популяциями данных видов, охотоустроительной документации и в порядке, определяемом Министерством лесного хозяйства Республики Беларусь (далее – </w:t>
      </w:r>
      <w:proofErr w:type="spellStart"/>
      <w:r w:rsidRPr="00A8521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Минлесхоз</w:t>
      </w:r>
      <w:proofErr w:type="spellEnd"/>
      <w:r w:rsidRPr="00A8521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). Министерство природных ресурсов и охраны окружающей среды Республики Беларусь обеспечивает разработку и утверждение планов управления популяциями медведя и рыси.</w:t>
      </w:r>
    </w:p>
    <w:p w:rsidR="00A85210" w:rsidRPr="00A85210" w:rsidRDefault="00A85210" w:rsidP="00A85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8521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Фактически медведю и рыси придается так называемый «бинарный статус» – являются дикими животными, отнесенными к видам, включенным в Красную книгу Республики Беларусь и, одновременно, – охотничьими животными при необходимости регулирования численности (по территориальному принципу) в соответствии с планами управления их популяциями. Аналогичный подходы давно применяется в Республике Беларусь в отношении зубра (основной генофонд – </w:t>
      </w:r>
      <w:proofErr w:type="spellStart"/>
      <w:r w:rsidRPr="00A8521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краснокнижник</w:t>
      </w:r>
      <w:proofErr w:type="spellEnd"/>
      <w:r w:rsidRPr="00A8521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, резервный генофонд – охотничьи животные).</w:t>
      </w:r>
    </w:p>
    <w:p w:rsidR="00A85210" w:rsidRPr="00A85210" w:rsidRDefault="00A85210" w:rsidP="00A852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85210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3.</w:t>
      </w:r>
      <w:r w:rsidRPr="00A8521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В приложении 3 к Правилам охоты упраздняются требования в отношении нарезного охотничьего оружия (дульной энергии пули), а также </w:t>
      </w:r>
      <w:r w:rsidRPr="00A8521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lastRenderedPageBreak/>
        <w:t xml:space="preserve">исключается перечень калибров (патронов) указанного выше оружия. При этом, Правилами охоты определено, что перечень патронов (калибров) нарезного охотничьего оружия, разрешенных для добычи охотничьих животных в зависимости от вида и (или) возраста, определяется </w:t>
      </w:r>
      <w:proofErr w:type="spellStart"/>
      <w:r w:rsidRPr="00A8521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Минлесхозом</w:t>
      </w:r>
      <w:proofErr w:type="spellEnd"/>
      <w:r w:rsidRPr="00A8521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</w:p>
    <w:p w:rsidR="00A85210" w:rsidRPr="00A85210" w:rsidRDefault="00A85210" w:rsidP="00A852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85210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4.</w:t>
      </w:r>
      <w:r w:rsidRPr="00A8521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Из пункта 53 Правил охоты исключены требования в части срока действия государственной пошлины за предоставление права на охоту, в связи с тем, что данные требования содержатся в Налоговом кодексе Республики Беларусь.</w:t>
      </w:r>
    </w:p>
    <w:p w:rsidR="00A85210" w:rsidRPr="00A85210" w:rsidRDefault="00A85210" w:rsidP="00A85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proofErr w:type="spellStart"/>
      <w:r w:rsidRPr="00A8521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/>
        </w:rPr>
        <w:t>Справочно</w:t>
      </w:r>
      <w:proofErr w:type="spellEnd"/>
      <w:r w:rsidRPr="00A8521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/>
        </w:rPr>
        <w:t>: в соответствии с подпунктом 4.4 пункта 4 статьи 287 Налогового кодекса Республики Беларусь, государственная пошлина уплачивается по ставке и (или) исходя из размера базовой величины, установленных на дату уплаты - за предоставление права на охоту. Государственная пошлина, уплаченная за предоставление права на охоту по установленной ставке, подтверждает право на охоту в течение двенадцати месяцев со дня ее уплаты, а уплаченная по установленной ставке с применением повышающего коэффициента, установленного пунктом 3 статьи 286 настоящего Кодекса, подтверждает право на охоту в течение шестидесяти месяцев со дня ее уплаты.</w:t>
      </w:r>
    </w:p>
    <w:p w:rsidR="00A85210" w:rsidRPr="00A85210" w:rsidRDefault="00A85210" w:rsidP="00A852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85210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5.</w:t>
      </w:r>
      <w:r w:rsidRPr="00A8521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Согласно новой редакции пункта 81 Правил охоты, расширен перечень раненых, травмированных, больных или погибших диких животных, при обнаружении которых оформляются соответствующие акты по форме, установленной </w:t>
      </w:r>
      <w:proofErr w:type="spellStart"/>
      <w:r w:rsidRPr="00A8521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Минлесхозом</w:t>
      </w:r>
      <w:proofErr w:type="spellEnd"/>
      <w:r w:rsidRPr="00A8521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. Данный перечень дополнен медведем, рысью (нормируемые виды охотничьих животных), зубром основного генофонда и </w:t>
      </w:r>
      <w:proofErr w:type="spellStart"/>
      <w:r w:rsidRPr="00A8521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тарпановидной</w:t>
      </w:r>
      <w:proofErr w:type="spellEnd"/>
      <w:r w:rsidRPr="00A8521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лошадью. Соответственно, Государственная инспекция будет осуществлять регистрацию сообщений о фактах ДТП в том числе с участием указанных выше животных.</w:t>
      </w:r>
    </w:p>
    <w:p w:rsidR="00A85210" w:rsidRPr="00A85210" w:rsidRDefault="00A85210" w:rsidP="00A85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8521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Кроме того, акты об обнаружении в фонде запаса охотничьих угодий либо на территориях, не включенных в фонд охотничьих угодий, раненых, травмированных, больных или погибших охотничьих животных нормируемых видов, зубра (основной генофонд) и </w:t>
      </w:r>
      <w:proofErr w:type="spellStart"/>
      <w:r w:rsidRPr="00A8521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тарпановидной</w:t>
      </w:r>
      <w:proofErr w:type="spellEnd"/>
      <w:r w:rsidRPr="00A8521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лошади могут составлять должностные лица, уполномоченные местными исполнительными и распорядительными органами (в действующей редакции – уполномоченные должностные лица местного исполнительного и распорядительного органа).</w:t>
      </w:r>
    </w:p>
    <w:p w:rsidR="00A85210" w:rsidRDefault="00A85210" w:rsidP="00A85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EE1D24"/>
          <w:sz w:val="30"/>
          <w:szCs w:val="30"/>
          <w:lang w:val="ru-RU"/>
        </w:rPr>
      </w:pPr>
    </w:p>
    <w:p w:rsidR="00A85210" w:rsidRPr="00A85210" w:rsidRDefault="00A85210" w:rsidP="00A85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85210">
        <w:rPr>
          <w:rFonts w:ascii="Times New Roman" w:eastAsia="Times New Roman" w:hAnsi="Times New Roman" w:cs="Times New Roman"/>
          <w:b/>
          <w:bCs/>
          <w:i/>
          <w:iCs/>
          <w:color w:val="EE1D24"/>
          <w:sz w:val="30"/>
          <w:szCs w:val="30"/>
          <w:lang w:val="ru-RU"/>
        </w:rPr>
        <w:t>Изменения законодательства, предусмотренные Указом Президента Республики Беларусь от 18.11.2024 № 420 вступят в силу</w:t>
      </w:r>
      <w:r w:rsidRPr="00A85210">
        <w:rPr>
          <w:rFonts w:ascii="Times New Roman" w:eastAsia="Times New Roman" w:hAnsi="Times New Roman" w:cs="Times New Roman"/>
          <w:b/>
          <w:bCs/>
          <w:i/>
          <w:iCs/>
          <w:color w:val="EE1D24"/>
          <w:sz w:val="30"/>
          <w:szCs w:val="30"/>
        </w:rPr>
        <w:t> </w:t>
      </w:r>
      <w:r w:rsidRPr="00A85210">
        <w:rPr>
          <w:rFonts w:ascii="Times New Roman" w:eastAsia="Times New Roman" w:hAnsi="Times New Roman" w:cs="Times New Roman"/>
          <w:b/>
          <w:bCs/>
          <w:i/>
          <w:iCs/>
          <w:color w:val="EE1D24"/>
          <w:sz w:val="30"/>
          <w:szCs w:val="30"/>
          <w:u w:val="single"/>
          <w:lang w:val="ru-RU"/>
        </w:rPr>
        <w:t>с 21.05.2025</w:t>
      </w:r>
      <w:r w:rsidRPr="00A85210">
        <w:rPr>
          <w:rFonts w:ascii="Times New Roman" w:eastAsia="Times New Roman" w:hAnsi="Times New Roman" w:cs="Times New Roman"/>
          <w:b/>
          <w:bCs/>
          <w:i/>
          <w:iCs/>
          <w:color w:val="EE1D24"/>
          <w:sz w:val="30"/>
          <w:szCs w:val="30"/>
          <w:lang w:val="ru-RU"/>
        </w:rPr>
        <w:t>.</w:t>
      </w:r>
    </w:p>
    <w:p w:rsidR="00AA1F72" w:rsidRPr="00A85210" w:rsidRDefault="00AA1F72">
      <w:pPr>
        <w:rPr>
          <w:lang w:val="ru-RU"/>
        </w:rPr>
      </w:pPr>
    </w:p>
    <w:sectPr w:rsidR="00AA1F72" w:rsidRPr="00A8521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10"/>
    <w:rsid w:val="00A85210"/>
    <w:rsid w:val="00AA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BB6DC"/>
  <w15:chartTrackingRefBased/>
  <w15:docId w15:val="{1E53A74F-6B72-4C9C-A03F-184FA0ED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2024-11-28T06:06:00Z</dcterms:created>
  <dcterms:modified xsi:type="dcterms:W3CDTF">2024-11-28T06:10:00Z</dcterms:modified>
</cp:coreProperties>
</file>