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DCD9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Об отложенном выходе на пенсию</w:t>
      </w:r>
    </w:p>
    <w:p w14:paraId="371B2B47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Если Вы:</w:t>
      </w:r>
    </w:p>
    <w:p w14:paraId="28581058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достигли общеустановленного пенсионного возраста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и Вам назначается (или уже назначена)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u w:val="single"/>
          <w:lang w:eastAsia="ru-RU"/>
        </w:rPr>
        <w:t>пенсия по возрасту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(при общем стаже 20 и более лет для женщин, 25 и более лет для мужчин),</w:t>
      </w:r>
    </w:p>
    <w:p w14:paraId="5577D9BB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то</w:t>
      </w:r>
    </w:p>
    <w:p w14:paraId="71E8CBFF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при продолжении работы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u w:val="single"/>
          <w:lang w:eastAsia="ru-RU"/>
        </w:rPr>
        <w:t>без получения пенсии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 Вы можете дополнительно увеличить её размер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.</w:t>
      </w:r>
    </w:p>
    <w:p w14:paraId="0AE6F984" w14:textId="77777777" w:rsidR="00560173" w:rsidRPr="00560173" w:rsidRDefault="00560173" w:rsidP="005601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shd w:val="clear" w:color="auto" w:fill="FFFFFF"/>
          <w:lang w:eastAsia="ru-RU"/>
        </w:rPr>
        <w:t> </w:t>
      </w:r>
    </w:p>
    <w:tbl>
      <w:tblPr>
        <w:tblW w:w="3750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560173" w:rsidRPr="00560173" w14:paraId="228E9254" w14:textId="77777777" w:rsidTr="005601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9FEE47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Общеустановленный пенсионный возраст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для  женщин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 составляет 58 лет,  для мужчин —  63 года</w:t>
            </w:r>
          </w:p>
        </w:tc>
      </w:tr>
    </w:tbl>
    <w:p w14:paraId="52905ABC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Для этого:</w:t>
      </w:r>
    </w:p>
    <w:p w14:paraId="06F5BD4F" w14:textId="77777777" w:rsidR="00560173" w:rsidRPr="00560173" w:rsidRDefault="00560173" w:rsidP="00560173">
      <w:pPr>
        <w:numPr>
          <w:ilvl w:val="0"/>
          <w:numId w:val="1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14:paraId="1C6C3F77" w14:textId="77777777" w:rsidR="00560173" w:rsidRPr="00560173" w:rsidRDefault="00560173" w:rsidP="0056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</w:t>
      </w:r>
    </w:p>
    <w:p w14:paraId="7FCB81CE" w14:textId="77777777" w:rsidR="00560173" w:rsidRPr="00560173" w:rsidRDefault="00560173" w:rsidP="00560173">
      <w:pPr>
        <w:numPr>
          <w:ilvl w:val="0"/>
          <w:numId w:val="2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продолжайте работать с заработной платой не ниже минимальной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br/>
        <w:t>(без получения пенсии);</w:t>
      </w:r>
    </w:p>
    <w:p w14:paraId="3D3FCA46" w14:textId="77777777" w:rsidR="00560173" w:rsidRPr="00560173" w:rsidRDefault="00560173" w:rsidP="0056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</w:t>
      </w:r>
    </w:p>
    <w:p w14:paraId="533FC4CF" w14:textId="77777777" w:rsidR="00560173" w:rsidRPr="00560173" w:rsidRDefault="00560173" w:rsidP="00560173">
      <w:pPr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по завершении выбранного периода работы без получения пенсии обратитесь за возобновлением выплаты пенсии и её перерасчетом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с учетом премии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(подайте соответствующие заявления в управление по труду, занятости и социальной защите).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560173" w:rsidRPr="00560173" w14:paraId="3AD3657A" w14:textId="77777777" w:rsidTr="005601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06E09D2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Премия за отложенный выход 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на пенсию предусмотрена статьей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br/>
              <w:t>23-1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Закона Республики Беларусь «О пенсионном обеспечении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»:  при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 xml:space="preserve"> продолжении  работы после достижения общеустановленного пенсионного возраста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без получения государственной пенсии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пенсия по возрасту на общих основаниях 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увеличивается на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:</w:t>
            </w:r>
          </w:p>
          <w:p w14:paraId="287BA837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6, 8, 10 и 12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процентов заработка, из которого исчисляется пенсия, – соответственно за каждый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полный первый, второй, третий и четвертый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 xml:space="preserve"> годы работы,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по 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14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процентов такого заработка – за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полный пятый и каждый последующий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год работы. Указанные размеры увеличения пенсии суммируются между собой;</w:t>
            </w:r>
          </w:p>
          <w:p w14:paraId="2AF1012D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1 процент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заработка, из которого исчисляется пенсия, – за каждые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полные два месяца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неполного года работы. Данный размер увеличения пенсии суммируется с вышеуказанными размерами увеличения пенсии.</w:t>
            </w:r>
          </w:p>
          <w:p w14:paraId="7AC6E1DA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Под работой, дающей право на увеличение пенсии, понимаются периоды работы, предпринимательской, творческой и иной деятельности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, в 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lastRenderedPageBreak/>
              <w:t>течение которых производилась уплата обязательных страховых взносов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в бюджет фонда социальной защиты населения согласно законодательству о государственном социальном страховании.</w:t>
            </w:r>
          </w:p>
        </w:tc>
      </w:tr>
    </w:tbl>
    <w:p w14:paraId="5AE8C7C5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lastRenderedPageBreak/>
        <w:t>Бонусы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:</w:t>
      </w:r>
    </w:p>
    <w:p w14:paraId="2F44B13A" w14:textId="77777777" w:rsidR="00560173" w:rsidRPr="00560173" w:rsidRDefault="00560173" w:rsidP="00560173">
      <w:pPr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увеличение размера пенсии за счет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дополнительного стажа 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14:paraId="794FBDAE" w14:textId="77777777" w:rsidR="00560173" w:rsidRPr="00560173" w:rsidRDefault="00560173" w:rsidP="00560173">
      <w:pPr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увеличение размера пенсии за счет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премии 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(статья 23-1 Закона «О пенсионном обеспечении»).</w:t>
      </w:r>
    </w:p>
    <w:tbl>
      <w:tblPr>
        <w:tblW w:w="5000" w:type="pct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560173" w:rsidRPr="00560173" w14:paraId="0BB38DB0" w14:textId="77777777" w:rsidTr="005601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32CC496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Например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: мужчина с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35-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летним стажем 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u w:val="single"/>
                <w:lang w:eastAsia="ru-RU"/>
              </w:rPr>
              <w:t xml:space="preserve">работал без получения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u w:val="single"/>
                <w:lang w:eastAsia="ru-RU"/>
              </w:rPr>
              <w:t>пенсии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 3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 года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.</w:t>
            </w:r>
          </w:p>
          <w:p w14:paraId="677E5215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Пенсия увеличится:</w:t>
            </w:r>
          </w:p>
          <w:p w14:paraId="741FD42F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        за дополнительный стаж (за 36-38 годы) –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на 3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%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 заработка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, из которого исчисляется пенсия;</w:t>
            </w:r>
          </w:p>
          <w:p w14:paraId="041BF6C7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       за счет премии (6% + 8% + 10%) –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еще на 24 %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заработка, из которого исчисляется пенсия.</w:t>
            </w:r>
          </w:p>
          <w:p w14:paraId="3FD6F2C1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 xml:space="preserve">       В результате пенсия будет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выше 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на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 xml:space="preserve"> 27 % заработка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, из которого исчисляется пенсия, или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в 1,42 раза.</w:t>
            </w:r>
          </w:p>
          <w:p w14:paraId="342BB46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       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Пенсия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в новом повышенном размере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будет выплачиваться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сразу после перерасчета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.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Разница между «новой» и «старой» пенсией будет сохраняться 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при всех последующих ежегодных повышениях (индексациях) пенсии.             </w:t>
            </w:r>
          </w:p>
        </w:tc>
      </w:tr>
    </w:tbl>
    <w:p w14:paraId="024F3F01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         Повышение пенсии за отложенный выход</w:t>
      </w:r>
    </w:p>
    <w:tbl>
      <w:tblPr>
        <w:tblW w:w="6645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2428"/>
        <w:gridCol w:w="2338"/>
      </w:tblGrid>
      <w:tr w:rsidR="00560173" w:rsidRPr="00560173" w14:paraId="6C7D8BA5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30C754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Период работы</w:t>
            </w:r>
          </w:p>
          <w:p w14:paraId="2B5BC3AD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без получения пенсии (лет)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A6E8C6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Премия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в процентах</w:t>
            </w:r>
          </w:p>
          <w:p w14:paraId="7E0C387B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к заработку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, из которого исчисляется пенсия (статьи 23-1, 56)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5DFBF65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 xml:space="preserve">Рост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>пенсии </w:t>
            </w: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 при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 xml:space="preserve"> стаже 30 лет</w:t>
            </w: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br/>
              <w:t>у женщины, 35 лет</w:t>
            </w:r>
          </w:p>
          <w:p w14:paraId="63BE5124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у мужчины</w:t>
            </w:r>
          </w:p>
          <w:p w14:paraId="173BCEE9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(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>в разах</w:t>
            </w: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)</w:t>
            </w:r>
          </w:p>
        </w:tc>
      </w:tr>
      <w:tr w:rsidR="00560173" w:rsidRPr="00560173" w14:paraId="4920BEDF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7633254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38E7DE2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C8017E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1,1</w:t>
            </w:r>
          </w:p>
        </w:tc>
      </w:tr>
      <w:tr w:rsidR="00560173" w:rsidRPr="00560173" w14:paraId="04A3D071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8474A54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1FB3FC6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14 (= 6+8)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ECA5ECE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1,2</w:t>
            </w:r>
          </w:p>
        </w:tc>
      </w:tr>
      <w:tr w:rsidR="00560173" w:rsidRPr="00560173" w14:paraId="5174DCD4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B803D18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1B4847B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24 (=14+10)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54B3675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1,4</w:t>
            </w:r>
          </w:p>
        </w:tc>
      </w:tr>
      <w:tr w:rsidR="00560173" w:rsidRPr="00560173" w14:paraId="652E39C9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487EF2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73AB9CA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36 (=24+12)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F67D36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1,6</w:t>
            </w:r>
          </w:p>
        </w:tc>
      </w:tr>
      <w:tr w:rsidR="00560173" w:rsidRPr="00560173" w14:paraId="18C26E57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96BC49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6609B68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50 (=36+14)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336CF7A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1,8</w:t>
            </w:r>
          </w:p>
        </w:tc>
      </w:tr>
      <w:tr w:rsidR="00560173" w:rsidRPr="00560173" w14:paraId="4F4C1019" w14:textId="77777777" w:rsidTr="00560173">
        <w:tc>
          <w:tcPr>
            <w:tcW w:w="162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60FAC2F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4D8A33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64 (=50+14)</w:t>
            </w:r>
          </w:p>
        </w:tc>
        <w:tc>
          <w:tcPr>
            <w:tcW w:w="244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3BB9B93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2,0</w:t>
            </w:r>
          </w:p>
        </w:tc>
      </w:tr>
    </w:tbl>
    <w:p w14:paraId="341263AD" w14:textId="77777777" w:rsidR="00560173" w:rsidRPr="00560173" w:rsidRDefault="00560173" w:rsidP="005601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shd w:val="clear" w:color="auto" w:fill="FFFFFF"/>
          <w:lang w:eastAsia="ru-RU"/>
        </w:rPr>
        <w:t> </w:t>
      </w:r>
    </w:p>
    <w:tbl>
      <w:tblPr>
        <w:tblW w:w="9339" w:type="dxa"/>
        <w:tblInd w:w="300" w:type="dxa"/>
        <w:tblBorders>
          <w:top w:val="single" w:sz="36" w:space="0" w:color="4384C5"/>
          <w:left w:val="single" w:sz="36" w:space="0" w:color="4384C5"/>
          <w:bottom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560173" w:rsidRPr="00560173" w14:paraId="6027BA04" w14:textId="77777777" w:rsidTr="00560173"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86C076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lastRenderedPageBreak/>
              <w:t>Важно:</w:t>
            </w:r>
          </w:p>
          <w:p w14:paraId="0C9235D4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>каждый следующий</w:t>
            </w: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 полный год работы без получения пенсии дает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color w:val="383838"/>
                <w:sz w:val="30"/>
                <w:szCs w:val="30"/>
                <w:lang w:eastAsia="ru-RU"/>
              </w:rPr>
              <w:t>более высокую</w:t>
            </w:r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 xml:space="preserve"> премию. </w:t>
            </w:r>
            <w:proofErr w:type="gramStart"/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>Чем  больше</w:t>
            </w:r>
            <w:proofErr w:type="gramEnd"/>
            <w:r w:rsidRPr="00560173"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  <w:t xml:space="preserve"> лет Вы работаете без получения пенсии, тем более значительно прирастает Ваша пенсия</w:t>
            </w:r>
          </w:p>
        </w:tc>
      </w:tr>
    </w:tbl>
    <w:p w14:paraId="6F18078A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Если Вы приняли решение отказаться от получения пенсии по возрасту (для последующего повышения её размера), то выплата пенсии будет приостановлена начиная с даты, указанной в Вашем заявлении, но не ранее, чем со дня его подачи. Возврат уже полученной пенсии не допускается.</w:t>
      </w:r>
    </w:p>
    <w:p w14:paraId="07E61C0B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После того, как выбранный период работы без получения пенсии завершится, либо в случае прекращения работы необходимо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обратиться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в управление по труду, занятости и социальной защите с заявлениями:</w:t>
      </w:r>
    </w:p>
    <w:p w14:paraId="21CE7C7C" w14:textId="77777777" w:rsidR="00560173" w:rsidRPr="00560173" w:rsidRDefault="00560173" w:rsidP="00560173">
      <w:pPr>
        <w:numPr>
          <w:ilvl w:val="0"/>
          <w:numId w:val="5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о возобновлении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выплаты пенсии по возрасту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с конкретной даты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;</w:t>
      </w:r>
    </w:p>
    <w:p w14:paraId="098A5427" w14:textId="77777777" w:rsidR="00560173" w:rsidRPr="00560173" w:rsidRDefault="00560173" w:rsidP="00560173">
      <w:pPr>
        <w:numPr>
          <w:ilvl w:val="0"/>
          <w:numId w:val="5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о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перерасчете размера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пенсии по возрасту с учетом дополнительного стажа и премиальной доплаты.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560173" w:rsidRPr="00560173" w14:paraId="7A71C6A1" w14:textId="77777777" w:rsidTr="005601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ACB0B00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Согласно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статье 81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Закона «О пенсионном обеспечении» перерасчет назначенной пенсии производится с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первого числа месяца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,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следующего за тем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,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в котором пенсионер обратился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 перерасчетом пенсии в установленном законодательством порядке.</w:t>
            </w:r>
          </w:p>
        </w:tc>
      </w:tr>
    </w:tbl>
    <w:p w14:paraId="79DE0133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Формировать премию за отложенный выход на пенсию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можно поэтапно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: заявление об отказе от получения пенсии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можно продлевать несколько раз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, можно делать перерывы (периоды работы без получения пенсии будут суммироваться).</w:t>
      </w:r>
    </w:p>
    <w:p w14:paraId="54E10553" w14:textId="77777777" w:rsidR="00560173" w:rsidRPr="00560173" w:rsidRDefault="00560173" w:rsidP="00560173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</w:pP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Вы 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вправе изменить принятое решение об отказе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от получения пенсии и</w:t>
      </w:r>
      <w:r w:rsidRPr="00560173">
        <w:rPr>
          <w:rFonts w:ascii="Times New Roman" w:eastAsia="Times New Roman" w:hAnsi="Times New Roman" w:cs="Times New Roman"/>
          <w:b/>
          <w:bCs/>
          <w:color w:val="383838"/>
          <w:sz w:val="30"/>
          <w:szCs w:val="30"/>
          <w:lang w:eastAsia="ru-RU"/>
        </w:rPr>
        <w:t> обратиться с заявлением о возобновлении выплаты пенсии</w:t>
      </w:r>
      <w:r w:rsidRPr="00560173">
        <w:rPr>
          <w:rFonts w:ascii="Times New Roman" w:eastAsia="Times New Roman" w:hAnsi="Times New Roman" w:cs="Times New Roman"/>
          <w:color w:val="383838"/>
          <w:sz w:val="30"/>
          <w:szCs w:val="30"/>
          <w:lang w:eastAsia="ru-RU"/>
        </w:rPr>
        <w:t> за период неполучения (если перерасчет пенсии по статье 23-1 Закона «О пенсионном обеспечении» еще не произведен).</w:t>
      </w:r>
    </w:p>
    <w:tbl>
      <w:tblPr>
        <w:tblW w:w="0" w:type="auto"/>
        <w:tblBorders>
          <w:left w:val="single" w:sz="36" w:space="0" w:color="4384C5"/>
          <w:right w:val="single" w:sz="36" w:space="0" w:color="4384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560173" w:rsidRPr="00560173" w14:paraId="3781B252" w14:textId="77777777" w:rsidTr="005601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7962E79" w14:textId="77777777" w:rsidR="00560173" w:rsidRPr="00560173" w:rsidRDefault="00560173" w:rsidP="0056017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383838"/>
                <w:sz w:val="30"/>
                <w:szCs w:val="30"/>
                <w:lang w:eastAsia="ru-RU"/>
              </w:rPr>
            </w:pP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Начисленные суммы пенсии, не востребованные пенсионером своевременно, выплачиваются за прошлое время 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не более чем за 3 года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перед обращением за получением пенсии (</w:t>
            </w:r>
            <w:r w:rsidRPr="00560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3838"/>
                <w:sz w:val="30"/>
                <w:szCs w:val="30"/>
                <w:lang w:eastAsia="ru-RU"/>
              </w:rPr>
              <w:t>статья 90</w:t>
            </w:r>
            <w:r w:rsidRPr="00560173">
              <w:rPr>
                <w:rFonts w:ascii="Times New Roman" w:eastAsia="Times New Roman" w:hAnsi="Times New Roman" w:cs="Times New Roman"/>
                <w:i/>
                <w:iCs/>
                <w:color w:val="383838"/>
                <w:sz w:val="30"/>
                <w:szCs w:val="30"/>
                <w:lang w:eastAsia="ru-RU"/>
              </w:rPr>
              <w:t> Закона «О пенсионном обеспечении»).</w:t>
            </w:r>
          </w:p>
        </w:tc>
      </w:tr>
    </w:tbl>
    <w:p w14:paraId="52BC5F0F" w14:textId="77777777" w:rsidR="0006261C" w:rsidRDefault="0006261C"/>
    <w:sectPr w:rsidR="0006261C" w:rsidSect="009C28E5">
      <w:pgSz w:w="11900" w:h="16840"/>
      <w:pgMar w:top="357" w:right="701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A1E66"/>
    <w:multiLevelType w:val="multilevel"/>
    <w:tmpl w:val="ABC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C2C03"/>
    <w:multiLevelType w:val="multilevel"/>
    <w:tmpl w:val="639A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65FDC"/>
    <w:multiLevelType w:val="multilevel"/>
    <w:tmpl w:val="6D18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16284"/>
    <w:multiLevelType w:val="multilevel"/>
    <w:tmpl w:val="736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E6B3A"/>
    <w:multiLevelType w:val="multilevel"/>
    <w:tmpl w:val="A39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3"/>
    <w:rsid w:val="0006261C"/>
    <w:rsid w:val="00397CDB"/>
    <w:rsid w:val="00560173"/>
    <w:rsid w:val="00826051"/>
    <w:rsid w:val="009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79A8"/>
  <w15:chartTrackingRefBased/>
  <w15:docId w15:val="{988A6C96-F8CD-4187-AD45-6329729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173"/>
    <w:rPr>
      <w:b/>
      <w:bCs/>
    </w:rPr>
  </w:style>
  <w:style w:type="character" w:styleId="a5">
    <w:name w:val="Emphasis"/>
    <w:basedOn w:val="a0"/>
    <w:uiPriority w:val="20"/>
    <w:qFormat/>
    <w:rsid w:val="00560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  <w:div w:id="57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4384C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Administrator@petrikov.local</dc:creator>
  <cp:keywords/>
  <dc:description/>
  <cp:lastModifiedBy>Administrator@petrikov.local</cp:lastModifiedBy>
  <cp:revision>1</cp:revision>
  <dcterms:created xsi:type="dcterms:W3CDTF">2025-01-13T08:07:00Z</dcterms:created>
  <dcterms:modified xsi:type="dcterms:W3CDTF">2025-01-13T09:11:00Z</dcterms:modified>
</cp:coreProperties>
</file>